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elenco4-colore5"/>
        <w:tblpPr w:leftFromText="141" w:rightFromText="141" w:horzAnchor="margin" w:tblpY="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98"/>
        <w:gridCol w:w="3721"/>
        <w:gridCol w:w="4099"/>
      </w:tblGrid>
      <w:tr w:rsidR="00BA7290" w:rsidRPr="00D01779" w14:paraId="25D4EDF1" w14:textId="77777777" w:rsidTr="00BA1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D26529" w14:textId="77777777" w:rsidR="00BA7290" w:rsidRPr="00D01779" w:rsidRDefault="00BA7290" w:rsidP="00BA7290">
            <w:pPr>
              <w:jc w:val="center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bookmarkStart w:id="0" w:name="_GoBack"/>
            <w:bookmarkEnd w:id="0"/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Criteri</w:t>
            </w:r>
          </w:p>
          <w:p w14:paraId="547FB700" w14:textId="77777777" w:rsidR="00BA7290" w:rsidRPr="00D01779" w:rsidRDefault="00BA7290" w:rsidP="00BA7290">
            <w:pPr>
              <w:jc w:val="center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none" w:sz="0" w:space="0" w:color="auto"/>
              <w:bottom w:val="none" w:sz="0" w:space="0" w:color="auto"/>
            </w:tcBorders>
          </w:tcPr>
          <w:p w14:paraId="429C646D" w14:textId="77777777" w:rsidR="00BA7290" w:rsidRPr="00D01779" w:rsidRDefault="00BA7290" w:rsidP="00BA7290">
            <w:pPr>
              <w:jc w:val="center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Indicatori (Esiti)</w:t>
            </w:r>
          </w:p>
        </w:tc>
        <w:tc>
          <w:tcPr>
            <w:tcW w:w="40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C572E2" w14:textId="77777777" w:rsidR="00BA7290" w:rsidRPr="00D01779" w:rsidRDefault="00BA7290" w:rsidP="00BA7290">
            <w:pPr>
              <w:jc w:val="center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Fonti di verifica</w:t>
            </w:r>
          </w:p>
        </w:tc>
      </w:tr>
      <w:tr w:rsidR="00BA7290" w:rsidRPr="00D01779" w14:paraId="547745CF" w14:textId="77777777" w:rsidTr="00BA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8" w:type="dxa"/>
          </w:tcPr>
          <w:p w14:paraId="74B905F9" w14:textId="77777777" w:rsidR="00BA7290" w:rsidRPr="00D01779" w:rsidRDefault="00BA7290" w:rsidP="00BA7290">
            <w:pPr>
              <w:spacing w:after="120"/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Output</w:t>
            </w:r>
          </w:p>
        </w:tc>
        <w:tc>
          <w:tcPr>
            <w:tcW w:w="3721" w:type="dxa"/>
            <w:shd w:val="clear" w:color="auto" w:fill="auto"/>
          </w:tcPr>
          <w:p w14:paraId="79270FF9" w14:textId="77777777" w:rsidR="00BA7290" w:rsidRPr="00D01779" w:rsidRDefault="00BA7290" w:rsidP="00BA7290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 xml:space="preserve">Numero di idee/contributi diversi 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(classificati in “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  <w:u w:val="single"/>
              </w:rPr>
              <w:t>rilevanti rispetto al tema”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– suddivisi in “realizzabili”, “non realizzabili” e</w:t>
            </w:r>
            <w:r w:rsidR="00BA1C50"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“non di competenza regionale” - e 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  <w:u w:val="single"/>
              </w:rPr>
              <w:t>“irrilevanti rispetto al tema”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).</w:t>
            </w:r>
          </w:p>
          <w:p w14:paraId="6A9CC0A9" w14:textId="77777777" w:rsidR="00BA7290" w:rsidRPr="00D01779" w:rsidRDefault="00BA7290" w:rsidP="00BA7290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Realizzazione di un prodotto finale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contenente le indicazioni emerse.</w:t>
            </w:r>
          </w:p>
        </w:tc>
        <w:tc>
          <w:tcPr>
            <w:tcW w:w="4099" w:type="dxa"/>
            <w:shd w:val="clear" w:color="auto" w:fill="auto"/>
          </w:tcPr>
          <w:p w14:paraId="1A980151" w14:textId="77777777" w:rsidR="00BA7290" w:rsidRPr="00D01779" w:rsidRDefault="00BA7290" w:rsidP="00BA7290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Documentazione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prodotta nel corso e al termine del processo (verbali, report, “Biografia del processo”).</w:t>
            </w:r>
          </w:p>
        </w:tc>
      </w:tr>
      <w:tr w:rsidR="00BA7290" w:rsidRPr="00D01779" w14:paraId="63D6DA61" w14:textId="77777777" w:rsidTr="00BA7290">
        <w:tc>
          <w:tcPr>
            <w:tcW w:w="1798" w:type="dxa"/>
            <w:shd w:val="clear" w:color="auto" w:fill="DEEAF6" w:themeFill="accent1" w:themeFillTint="33"/>
          </w:tcPr>
          <w:p w14:paraId="7EBDF7AD" w14:textId="77777777" w:rsidR="00BA7290" w:rsidRPr="00D01779" w:rsidRDefault="00BA7290" w:rsidP="00BA7290">
            <w:pPr>
              <w:spacing w:after="120"/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Effetti sui partecipanti</w:t>
            </w:r>
          </w:p>
        </w:tc>
        <w:tc>
          <w:tcPr>
            <w:tcW w:w="3721" w:type="dxa"/>
            <w:shd w:val="clear" w:color="auto" w:fill="auto"/>
          </w:tcPr>
          <w:p w14:paraId="58D3B41D" w14:textId="77777777" w:rsidR="00BA7290" w:rsidRPr="00D01779" w:rsidRDefault="00BA7290" w:rsidP="00BA7290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Soddisfazione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per </w:t>
            </w: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l’esperienza personale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fatta.</w:t>
            </w:r>
          </w:p>
          <w:p w14:paraId="4CB19793" w14:textId="77777777" w:rsidR="00BA7290" w:rsidRPr="00D01779" w:rsidRDefault="00BA7290" w:rsidP="00BA7290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Soddisfazione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per il </w:t>
            </w: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 xml:space="preserve">processo 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e</w:t>
            </w: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 xml:space="preserve"> 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l’</w:t>
            </w: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esito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.</w:t>
            </w:r>
          </w:p>
          <w:p w14:paraId="5410B07A" w14:textId="77777777" w:rsidR="00BA7290" w:rsidRPr="00D01779" w:rsidRDefault="00BA7290" w:rsidP="00BA7290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Trasformazione del </w:t>
            </w: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senso di efficacia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interna ed esterna.</w:t>
            </w:r>
          </w:p>
        </w:tc>
        <w:tc>
          <w:tcPr>
            <w:tcW w:w="4099" w:type="dxa"/>
            <w:shd w:val="clear" w:color="auto" w:fill="auto"/>
          </w:tcPr>
          <w:p w14:paraId="1F4F1C80" w14:textId="77777777" w:rsidR="00BA7290" w:rsidRPr="00D01779" w:rsidRDefault="00BA7290" w:rsidP="00BA7290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Interviste e/o focus group</w:t>
            </w:r>
          </w:p>
          <w:p w14:paraId="39052EB8" w14:textId="77777777" w:rsidR="00BA7290" w:rsidRPr="00D01779" w:rsidRDefault="00BA7290" w:rsidP="00BA7290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Questionari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ex ante ed ex post con specifiche domande.</w:t>
            </w:r>
          </w:p>
          <w:p w14:paraId="16DE28FB" w14:textId="77777777" w:rsidR="00BA7290" w:rsidRPr="00D01779" w:rsidRDefault="00BA7290" w:rsidP="00BA7290">
            <w:pPr>
              <w:pStyle w:val="Paragrafoelenco"/>
              <w:spacing w:after="120"/>
              <w:ind w:left="360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</w:p>
        </w:tc>
      </w:tr>
      <w:tr w:rsidR="00BA7290" w:rsidRPr="00D01779" w14:paraId="6DFA8928" w14:textId="77777777" w:rsidTr="00BA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8" w:type="dxa"/>
          </w:tcPr>
          <w:p w14:paraId="4484BA18" w14:textId="77777777" w:rsidR="00BA7290" w:rsidRPr="00D01779" w:rsidRDefault="00BA7290" w:rsidP="00BA7290">
            <w:pPr>
              <w:spacing w:after="120"/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Impatto</w:t>
            </w:r>
          </w:p>
        </w:tc>
        <w:tc>
          <w:tcPr>
            <w:tcW w:w="3721" w:type="dxa"/>
            <w:shd w:val="clear" w:color="auto" w:fill="auto"/>
          </w:tcPr>
          <w:p w14:paraId="32E3F20D" w14:textId="77777777" w:rsidR="00BA7290" w:rsidRPr="00D01779" w:rsidRDefault="00BA7290" w:rsidP="00BA7290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Impatto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sulla decisione/policy.</w:t>
            </w:r>
          </w:p>
        </w:tc>
        <w:tc>
          <w:tcPr>
            <w:tcW w:w="4099" w:type="dxa"/>
            <w:shd w:val="clear" w:color="auto" w:fill="auto"/>
          </w:tcPr>
          <w:p w14:paraId="6DC9B390" w14:textId="77777777" w:rsidR="00BA7290" w:rsidRPr="00D01779" w:rsidRDefault="00BA7290" w:rsidP="00BA7290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Analizzare e riportare la </w:t>
            </w: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 xml:space="preserve">documentazione 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riguardante questo aspetto.</w:t>
            </w:r>
          </w:p>
        </w:tc>
      </w:tr>
    </w:tbl>
    <w:p w14:paraId="3F6CA876" w14:textId="77777777" w:rsidR="00BA7290" w:rsidRPr="00BA1C50" w:rsidRDefault="00BA1C50" w:rsidP="00BA1C50">
      <w:pPr>
        <w:pStyle w:val="Didascalia"/>
        <w:keepNext/>
        <w:rPr>
          <w:color w:val="auto"/>
          <w:sz w:val="28"/>
          <w:szCs w:val="28"/>
        </w:rPr>
      </w:pPr>
      <w:r w:rsidRPr="00BA1C50">
        <w:rPr>
          <w:noProof/>
          <w:color w:val="auto"/>
          <w:sz w:val="28"/>
          <w:szCs w:val="28"/>
        </w:rPr>
        <w:t>Tabella valutativa</w:t>
      </w:r>
      <w:r w:rsidR="00BA7290" w:rsidRPr="00BA1C50">
        <w:rPr>
          <w:noProof/>
          <w:color w:val="auto"/>
          <w:sz w:val="28"/>
          <w:szCs w:val="28"/>
        </w:rPr>
        <w:t xml:space="preserve"> per la dimensione degli esiti</w:t>
      </w:r>
    </w:p>
    <w:sectPr w:rsidR="00BA7290" w:rsidRPr="00BA1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046A"/>
    <w:multiLevelType w:val="hybridMultilevel"/>
    <w:tmpl w:val="0AF4AF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C2211"/>
    <w:multiLevelType w:val="hybridMultilevel"/>
    <w:tmpl w:val="5F2A296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5F518F"/>
    <w:multiLevelType w:val="hybridMultilevel"/>
    <w:tmpl w:val="83421E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C3"/>
    <w:rsid w:val="00000CDC"/>
    <w:rsid w:val="0001174B"/>
    <w:rsid w:val="0002359A"/>
    <w:rsid w:val="000576C9"/>
    <w:rsid w:val="0008093D"/>
    <w:rsid w:val="000B4B5E"/>
    <w:rsid w:val="000B5868"/>
    <w:rsid w:val="000C7C22"/>
    <w:rsid w:val="000D2142"/>
    <w:rsid w:val="000E1335"/>
    <w:rsid w:val="001556F7"/>
    <w:rsid w:val="0017194C"/>
    <w:rsid w:val="001B7308"/>
    <w:rsid w:val="001E6943"/>
    <w:rsid w:val="001E75AB"/>
    <w:rsid w:val="002131DD"/>
    <w:rsid w:val="002313B7"/>
    <w:rsid w:val="00246CB7"/>
    <w:rsid w:val="00272C7A"/>
    <w:rsid w:val="00275085"/>
    <w:rsid w:val="00293411"/>
    <w:rsid w:val="002B5C9B"/>
    <w:rsid w:val="002D0159"/>
    <w:rsid w:val="002E30A5"/>
    <w:rsid w:val="002E77A1"/>
    <w:rsid w:val="00301E76"/>
    <w:rsid w:val="00302F8F"/>
    <w:rsid w:val="003032C4"/>
    <w:rsid w:val="00341B24"/>
    <w:rsid w:val="0035072A"/>
    <w:rsid w:val="00371755"/>
    <w:rsid w:val="00375C7C"/>
    <w:rsid w:val="00392CDF"/>
    <w:rsid w:val="003A7B42"/>
    <w:rsid w:val="003B31EE"/>
    <w:rsid w:val="003F79BE"/>
    <w:rsid w:val="0042424F"/>
    <w:rsid w:val="00427D23"/>
    <w:rsid w:val="00434FD8"/>
    <w:rsid w:val="00441E21"/>
    <w:rsid w:val="00446A64"/>
    <w:rsid w:val="00451203"/>
    <w:rsid w:val="00460D53"/>
    <w:rsid w:val="00477C74"/>
    <w:rsid w:val="00484605"/>
    <w:rsid w:val="004C291C"/>
    <w:rsid w:val="004C39A4"/>
    <w:rsid w:val="004E1FC3"/>
    <w:rsid w:val="004F30F6"/>
    <w:rsid w:val="004F74B9"/>
    <w:rsid w:val="005019BB"/>
    <w:rsid w:val="0053209A"/>
    <w:rsid w:val="005408D2"/>
    <w:rsid w:val="00553B0C"/>
    <w:rsid w:val="00590A54"/>
    <w:rsid w:val="00590B2E"/>
    <w:rsid w:val="0059798C"/>
    <w:rsid w:val="005C7249"/>
    <w:rsid w:val="005D7309"/>
    <w:rsid w:val="006327C4"/>
    <w:rsid w:val="00632F29"/>
    <w:rsid w:val="00643E87"/>
    <w:rsid w:val="00653FAB"/>
    <w:rsid w:val="0066459B"/>
    <w:rsid w:val="0067617D"/>
    <w:rsid w:val="00690F16"/>
    <w:rsid w:val="00691AC9"/>
    <w:rsid w:val="006A2B89"/>
    <w:rsid w:val="006C5EAC"/>
    <w:rsid w:val="006E13A9"/>
    <w:rsid w:val="006F160E"/>
    <w:rsid w:val="00736F3B"/>
    <w:rsid w:val="007424EC"/>
    <w:rsid w:val="00763713"/>
    <w:rsid w:val="007B1CD8"/>
    <w:rsid w:val="0081312B"/>
    <w:rsid w:val="0081609F"/>
    <w:rsid w:val="00816F25"/>
    <w:rsid w:val="00855BD0"/>
    <w:rsid w:val="00870180"/>
    <w:rsid w:val="008B09A9"/>
    <w:rsid w:val="008C3A4D"/>
    <w:rsid w:val="008C3E0B"/>
    <w:rsid w:val="008E0B02"/>
    <w:rsid w:val="008F32BD"/>
    <w:rsid w:val="0090213B"/>
    <w:rsid w:val="00914DF7"/>
    <w:rsid w:val="00920EEF"/>
    <w:rsid w:val="00923E1B"/>
    <w:rsid w:val="009340C8"/>
    <w:rsid w:val="009372F6"/>
    <w:rsid w:val="0096621A"/>
    <w:rsid w:val="009D12A4"/>
    <w:rsid w:val="009E6F09"/>
    <w:rsid w:val="00A52510"/>
    <w:rsid w:val="00A56F26"/>
    <w:rsid w:val="00A60AF2"/>
    <w:rsid w:val="00A64539"/>
    <w:rsid w:val="00A76871"/>
    <w:rsid w:val="00A80F6C"/>
    <w:rsid w:val="00A966CF"/>
    <w:rsid w:val="00AB31C2"/>
    <w:rsid w:val="00AB777B"/>
    <w:rsid w:val="00AC0CEF"/>
    <w:rsid w:val="00AD62C2"/>
    <w:rsid w:val="00B374C5"/>
    <w:rsid w:val="00B50D8E"/>
    <w:rsid w:val="00BA1C50"/>
    <w:rsid w:val="00BA7290"/>
    <w:rsid w:val="00BC1FFC"/>
    <w:rsid w:val="00C20037"/>
    <w:rsid w:val="00C3385B"/>
    <w:rsid w:val="00C373EE"/>
    <w:rsid w:val="00C51B16"/>
    <w:rsid w:val="00C76625"/>
    <w:rsid w:val="00C80873"/>
    <w:rsid w:val="00CC1919"/>
    <w:rsid w:val="00D01779"/>
    <w:rsid w:val="00D11DB7"/>
    <w:rsid w:val="00D16BF9"/>
    <w:rsid w:val="00D50281"/>
    <w:rsid w:val="00DA35B8"/>
    <w:rsid w:val="00DC2DA0"/>
    <w:rsid w:val="00DE07B9"/>
    <w:rsid w:val="00E17D3E"/>
    <w:rsid w:val="00E26FDC"/>
    <w:rsid w:val="00E44379"/>
    <w:rsid w:val="00E75B52"/>
    <w:rsid w:val="00E903CD"/>
    <w:rsid w:val="00E96417"/>
    <w:rsid w:val="00EA11B6"/>
    <w:rsid w:val="00EA4B02"/>
    <w:rsid w:val="00EA7F11"/>
    <w:rsid w:val="00F14153"/>
    <w:rsid w:val="00F23801"/>
    <w:rsid w:val="00F25667"/>
    <w:rsid w:val="00F639F9"/>
    <w:rsid w:val="00F725F9"/>
    <w:rsid w:val="00FC422E"/>
    <w:rsid w:val="00FC5241"/>
    <w:rsid w:val="00FC6BD1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5727"/>
  <w15:chartTrackingRefBased/>
  <w15:docId w15:val="{D42762AF-99AA-439E-A573-80E22ECB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A729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A729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7290"/>
    <w:pPr>
      <w:ind w:left="720"/>
      <w:contextualSpacing/>
    </w:pPr>
  </w:style>
  <w:style w:type="table" w:styleId="Grigliamedia3-Colore2">
    <w:name w:val="Medium Grid 3 Accent 2"/>
    <w:basedOn w:val="Tabellanormale"/>
    <w:uiPriority w:val="69"/>
    <w:rsid w:val="00BA72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Tabellaelenco4-colore5">
    <w:name w:val="List Table 4 Accent 5"/>
    <w:basedOn w:val="Tabellanormale"/>
    <w:uiPriority w:val="49"/>
    <w:rsid w:val="00BA72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BA729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2E99-33C0-4F14-9001-38D24142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Monacelli Michela</dc:creator>
  <cp:keywords/>
  <dc:description/>
  <cp:lastModifiedBy>Gamberini Laura</cp:lastModifiedBy>
  <cp:revision>2</cp:revision>
  <dcterms:created xsi:type="dcterms:W3CDTF">2019-09-05T13:59:00Z</dcterms:created>
  <dcterms:modified xsi:type="dcterms:W3CDTF">2019-09-05T13:59:00Z</dcterms:modified>
</cp:coreProperties>
</file>